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F1" w:rsidRDefault="00E167D8" w:rsidP="009C04A9">
      <w:pPr>
        <w:pStyle w:val="Heading1"/>
        <w:ind w:left="851" w:right="851"/>
      </w:pPr>
      <w:r>
        <w:rPr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6797040</wp:posOffset>
                </wp:positionV>
                <wp:extent cx="4572000" cy="1028700"/>
                <wp:effectExtent l="3810" t="254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4A9" w:rsidRDefault="008105E0" w:rsidP="009C04A9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Socio-Technical Futures Analysis</w:t>
                            </w:r>
                          </w:p>
                          <w:p w:rsidR="008105E0" w:rsidRDefault="008105E0" w:rsidP="009C04A9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Critical Technology Foresight</w:t>
                            </w:r>
                          </w:p>
                          <w:p w:rsidR="008105E0" w:rsidRDefault="008105E0" w:rsidP="009C04A9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Strategy and Joint Force</w:t>
                            </w:r>
                          </w:p>
                          <w:p w:rsidR="008105E0" w:rsidRDefault="004006FB" w:rsidP="008105E0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Human &amp; Decision Sciences</w:t>
                            </w:r>
                            <w:r w:rsidR="008105E0">
                              <w:rPr>
                                <w:color w:val="808080"/>
                              </w:rPr>
                              <w:t xml:space="preserve"> Division</w:t>
                            </w:r>
                          </w:p>
                          <w:p w:rsidR="009C04A9" w:rsidRDefault="00FB702E" w:rsidP="009C04A9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  <w:p w:rsidR="009C04A9" w:rsidRPr="008F5B6A" w:rsidRDefault="00FB702E" w:rsidP="009C04A9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  <w:p w:rsidR="009C04A9" w:rsidRPr="008F5B6A" w:rsidRDefault="00FB702E" w:rsidP="009C04A9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1.05pt;margin-top:535.2pt;width:5in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+JntA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" filled="f" stroked="f">
                <v:textbox>
                  <w:txbxContent>
                    <w:p w:rsidR="009C04A9" w:rsidRDefault="008105E0" w:rsidP="009C04A9">
                      <w:pPr>
                        <w:jc w:val="right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Socio-Technical Futures Analysis</w:t>
                      </w:r>
                    </w:p>
                    <w:p w:rsidR="008105E0" w:rsidRDefault="008105E0" w:rsidP="009C04A9">
                      <w:pPr>
                        <w:jc w:val="right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Critical Technology Foresight</w:t>
                      </w:r>
                    </w:p>
                    <w:p w:rsidR="008105E0" w:rsidRDefault="008105E0" w:rsidP="009C04A9">
                      <w:pPr>
                        <w:jc w:val="right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Strategy and Joint Force</w:t>
                      </w:r>
                    </w:p>
                    <w:p w:rsidR="008105E0" w:rsidRDefault="004006FB" w:rsidP="008105E0">
                      <w:pPr>
                        <w:jc w:val="right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Human &amp; Decision Sciences</w:t>
                      </w:r>
                      <w:r w:rsidR="008105E0">
                        <w:rPr>
                          <w:color w:val="808080"/>
                        </w:rPr>
                        <w:t xml:space="preserve"> Division</w:t>
                      </w:r>
                    </w:p>
                    <w:p w:rsidR="009C04A9" w:rsidRDefault="007D219B" w:rsidP="009C04A9">
                      <w:pPr>
                        <w:jc w:val="right"/>
                        <w:rPr>
                          <w:color w:val="808080"/>
                        </w:rPr>
                      </w:pPr>
                    </w:p>
                    <w:p w:rsidR="009C04A9" w:rsidRPr="008F5B6A" w:rsidRDefault="007D219B" w:rsidP="009C04A9">
                      <w:pPr>
                        <w:jc w:val="right"/>
                        <w:rPr>
                          <w:color w:val="808080"/>
                        </w:rPr>
                      </w:pPr>
                    </w:p>
                    <w:p w:rsidR="009C04A9" w:rsidRPr="008F5B6A" w:rsidRDefault="007D219B" w:rsidP="009C04A9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1985645</wp:posOffset>
                </wp:positionV>
                <wp:extent cx="8740140" cy="914400"/>
                <wp:effectExtent l="1270" t="1270" r="254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01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4A9" w:rsidRPr="00E831B4" w:rsidRDefault="008105E0">
                            <w:pPr>
                              <w:rPr>
                                <w:rFonts w:ascii="Georgia" w:hAnsi="Georgia"/>
                                <w:color w:val="E86D1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E86D1F"/>
                                <w:sz w:val="52"/>
                                <w:szCs w:val="56"/>
                              </w:rPr>
                              <w:t>Socio-Technical Futures Analysis</w:t>
                            </w:r>
                          </w:p>
                          <w:p w:rsidR="009C04A9" w:rsidRPr="008F5B6A" w:rsidRDefault="008105E0">
                            <w:pPr>
                              <w:rPr>
                                <w:rFonts w:cs="Arial"/>
                                <w:color w:val="6A737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6A737B"/>
                                <w:sz w:val="36"/>
                                <w:szCs w:val="40"/>
                              </w:rPr>
                              <w:t>Request for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3.65pt;margin-top:156.35pt;width:688.2pt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/YItgIAAMA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" filled="f" stroked="f">
                <v:textbox>
                  <w:txbxContent>
                    <w:p w:rsidR="009C04A9" w:rsidRPr="00E831B4" w:rsidRDefault="008105E0">
                      <w:pPr>
                        <w:rPr>
                          <w:rFonts w:ascii="Georgia" w:hAnsi="Georgia"/>
                          <w:color w:val="E86D1F"/>
                          <w:sz w:val="56"/>
                          <w:szCs w:val="56"/>
                        </w:rPr>
                      </w:pPr>
                      <w:r>
                        <w:rPr>
                          <w:rFonts w:ascii="Georgia" w:hAnsi="Georgia"/>
                          <w:color w:val="E86D1F"/>
                          <w:sz w:val="52"/>
                          <w:szCs w:val="56"/>
                        </w:rPr>
                        <w:t>Socio-Technical Futures Analysis</w:t>
                      </w:r>
                    </w:p>
                    <w:p w:rsidR="009C04A9" w:rsidRPr="008F5B6A" w:rsidRDefault="008105E0">
                      <w:pPr>
                        <w:rPr>
                          <w:rFonts w:cs="Arial"/>
                          <w:color w:val="6A737B"/>
                          <w:sz w:val="36"/>
                          <w:szCs w:val="40"/>
                        </w:rPr>
                      </w:pPr>
                      <w:r>
                        <w:rPr>
                          <w:rFonts w:cs="Arial"/>
                          <w:color w:val="6A737B"/>
                          <w:sz w:val="36"/>
                          <w:szCs w:val="40"/>
                        </w:rPr>
                        <w:t>Request for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663F1" w:rsidRDefault="00B663F1" w:rsidP="009C04A9">
      <w:pPr>
        <w:pStyle w:val="Heading1"/>
        <w:ind w:left="851" w:right="851"/>
      </w:pPr>
    </w:p>
    <w:p w:rsidR="004006FB" w:rsidRDefault="004006FB" w:rsidP="009C04A9">
      <w:pPr>
        <w:pStyle w:val="Heading1"/>
        <w:ind w:left="851" w:right="851"/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Pr="004006FB" w:rsidRDefault="004006FB" w:rsidP="004006FB">
      <w:pPr>
        <w:rPr>
          <w:lang w:val="en-AU" w:eastAsia="en-AU"/>
        </w:rPr>
      </w:pPr>
    </w:p>
    <w:p w:rsidR="004006FB" w:rsidRDefault="004006FB" w:rsidP="004006FB">
      <w:pPr>
        <w:pStyle w:val="Heading1"/>
        <w:ind w:left="851" w:right="851"/>
        <w:jc w:val="right"/>
      </w:pPr>
    </w:p>
    <w:p w:rsidR="009C04A9" w:rsidRDefault="00517974" w:rsidP="009C04A9">
      <w:pPr>
        <w:pStyle w:val="Heading1"/>
        <w:ind w:left="851" w:right="851"/>
      </w:pPr>
      <w:r w:rsidRPr="004006FB">
        <w:br w:type="page"/>
      </w:r>
      <w:r w:rsidR="00BD3DF6">
        <w:lastRenderedPageBreak/>
        <w:t>Socio-Technical Futures Analysis</w:t>
      </w:r>
    </w:p>
    <w:p w:rsidR="009C04A9" w:rsidRPr="00AC17CE" w:rsidRDefault="00BD3DF6" w:rsidP="009C04A9">
      <w:pPr>
        <w:pStyle w:val="Heading2"/>
        <w:ind w:left="851" w:right="851"/>
      </w:pPr>
      <w:r>
        <w:t>Introduction</w:t>
      </w:r>
    </w:p>
    <w:p w:rsidR="00BD3DF6" w:rsidRDefault="00BD3DF6" w:rsidP="00BD3DF6">
      <w:pPr>
        <w:pStyle w:val="Heading3"/>
        <w:numPr>
          <w:ilvl w:val="0"/>
          <w:numId w:val="0"/>
        </w:numPr>
        <w:ind w:left="852"/>
        <w:jc w:val="both"/>
      </w:pPr>
      <w:r>
        <w:t>The Defence Science &amp; Technology Group</w:t>
      </w:r>
      <w:r w:rsidR="0044229D">
        <w:t xml:space="preserve"> (DSTG)</w:t>
      </w:r>
      <w:r>
        <w:t xml:space="preserve"> has recently established a dedicated Socio-Technical Futures Analysis </w:t>
      </w:r>
      <w:r w:rsidR="0044229D">
        <w:t>effort</w:t>
      </w:r>
      <w:r>
        <w:t xml:space="preserve"> to contribute to its Critical Technology Foresight capability in collaboration with the Department of Prime Minister and Cabinet’s Critical Technology Policy </w:t>
      </w:r>
      <w:r w:rsidR="001E123A">
        <w:t>Coordination Office (CT</w:t>
      </w:r>
      <w:r>
        <w:t>P</w:t>
      </w:r>
      <w:r w:rsidR="001E123A">
        <w:t>C</w:t>
      </w:r>
      <w:r>
        <w:t xml:space="preserve">O), specifically focused on assessment of the </w:t>
      </w:r>
      <w:r w:rsidR="00D32474">
        <w:t>societal</w:t>
      </w:r>
      <w:r>
        <w:t xml:space="preserve"> implications of emerging and potentially disruptive technologies.</w:t>
      </w:r>
    </w:p>
    <w:p w:rsidR="00BD3DF6" w:rsidRPr="00AC17CE" w:rsidRDefault="00BD3DF6" w:rsidP="00BD3DF6">
      <w:pPr>
        <w:pStyle w:val="Heading2"/>
        <w:ind w:left="851" w:right="851"/>
      </w:pPr>
      <w:r>
        <w:t>Purpose</w:t>
      </w:r>
    </w:p>
    <w:p w:rsidR="0044229D" w:rsidRDefault="0044229D" w:rsidP="0044229D">
      <w:pPr>
        <w:pStyle w:val="Heading3"/>
        <w:numPr>
          <w:ilvl w:val="0"/>
          <w:numId w:val="0"/>
        </w:numPr>
        <w:ind w:left="852"/>
        <w:jc w:val="both"/>
      </w:pPr>
      <w:r w:rsidRPr="0044229D">
        <w:t xml:space="preserve">At the highest level of abstraction, this </w:t>
      </w:r>
      <w:r>
        <w:t xml:space="preserve">new effort </w:t>
      </w:r>
      <w:r w:rsidRPr="0044229D">
        <w:t xml:space="preserve">aims to </w:t>
      </w:r>
      <w:r>
        <w:t>broaden DSTG’s science and</w:t>
      </w:r>
      <w:r w:rsidRPr="0044229D">
        <w:t xml:space="preserve"> technology </w:t>
      </w:r>
      <w:r>
        <w:t>and</w:t>
      </w:r>
      <w:r w:rsidRPr="0044229D">
        <w:t xml:space="preserve">: </w:t>
      </w:r>
    </w:p>
    <w:p w:rsidR="0044229D" w:rsidRDefault="0044229D" w:rsidP="008019BC">
      <w:pPr>
        <w:pStyle w:val="Heading3"/>
        <w:numPr>
          <w:ilvl w:val="0"/>
          <w:numId w:val="6"/>
        </w:numPr>
        <w:jc w:val="both"/>
      </w:pPr>
      <w:r w:rsidRPr="0044229D">
        <w:t>Improve future preparedness and limit strategic surprise by</w:t>
      </w:r>
      <w:r w:rsidRPr="0044229D">
        <w:rPr>
          <w:lang w:val="en-US"/>
        </w:rPr>
        <w:t xml:space="preserve"> ensuring that</w:t>
      </w:r>
      <w:r w:rsidR="008019BC">
        <w:rPr>
          <w:lang w:val="en-US"/>
        </w:rPr>
        <w:t xml:space="preserve"> defendable</w:t>
      </w:r>
      <w:r w:rsidRPr="0044229D">
        <w:rPr>
          <w:lang w:val="en-US"/>
        </w:rPr>
        <w:t xml:space="preserve"> </w:t>
      </w:r>
      <w:r w:rsidRPr="0044229D">
        <w:rPr>
          <w:i/>
          <w:lang w:val="en-US"/>
        </w:rPr>
        <w:t>social-scientific</w:t>
      </w:r>
      <w:r w:rsidRPr="0044229D">
        <w:rPr>
          <w:lang w:val="en-US"/>
        </w:rPr>
        <w:t xml:space="preserve"> techniques are applied to critical technology foresight and impact assessment.</w:t>
      </w:r>
    </w:p>
    <w:p w:rsidR="00BA6D11" w:rsidRDefault="0044229D" w:rsidP="008019BC">
      <w:pPr>
        <w:pStyle w:val="Heading3"/>
        <w:numPr>
          <w:ilvl w:val="0"/>
          <w:numId w:val="6"/>
        </w:numPr>
        <w:jc w:val="both"/>
      </w:pPr>
      <w:r w:rsidRPr="0044229D">
        <w:rPr>
          <w:lang w:val="en-US"/>
        </w:rPr>
        <w:t xml:space="preserve">Enable enhanced strategic direction </w:t>
      </w:r>
      <w:r>
        <w:rPr>
          <w:lang w:val="en-US"/>
        </w:rPr>
        <w:t>and i</w:t>
      </w:r>
      <w:r w:rsidRPr="0044229D">
        <w:rPr>
          <w:lang w:val="en-US"/>
        </w:rPr>
        <w:t xml:space="preserve">nform Australian Defence </w:t>
      </w:r>
      <w:proofErr w:type="spellStart"/>
      <w:r w:rsidRPr="0044229D">
        <w:rPr>
          <w:lang w:val="en-US"/>
        </w:rPr>
        <w:t>Organisation</w:t>
      </w:r>
      <w:proofErr w:type="spellEnd"/>
      <w:r w:rsidRPr="0044229D">
        <w:rPr>
          <w:lang w:val="en-US"/>
        </w:rPr>
        <w:t xml:space="preserve"> decision-making by ensuring </w:t>
      </w:r>
      <w:r w:rsidR="00BA6D11">
        <w:rPr>
          <w:lang w:val="en-US"/>
        </w:rPr>
        <w:t>the development and application of</w:t>
      </w:r>
      <w:r w:rsidRPr="0044229D">
        <w:rPr>
          <w:lang w:val="en-US"/>
        </w:rPr>
        <w:t xml:space="preserve"> </w:t>
      </w:r>
      <w:r w:rsidRPr="0044229D">
        <w:rPr>
          <w:i/>
          <w:lang w:val="en-US"/>
        </w:rPr>
        <w:t>socio-technically-informed</w:t>
      </w:r>
      <w:r w:rsidRPr="0044229D">
        <w:rPr>
          <w:lang w:val="en-US"/>
        </w:rPr>
        <w:t xml:space="preserve"> research and techniques to assist decision-makers in </w:t>
      </w:r>
      <w:r w:rsidRPr="0044229D">
        <w:rPr>
          <w:i/>
          <w:lang w:val="en-US"/>
        </w:rPr>
        <w:t>holistically</w:t>
      </w:r>
      <w:r w:rsidRPr="0044229D">
        <w:rPr>
          <w:lang w:val="en-US"/>
        </w:rPr>
        <w:t xml:space="preserve"> considering and responding to the </w:t>
      </w:r>
      <w:r w:rsidRPr="0044229D">
        <w:rPr>
          <w:i/>
          <w:lang w:val="en-US"/>
        </w:rPr>
        <w:t>full spectrum</w:t>
      </w:r>
      <w:r w:rsidRPr="0044229D">
        <w:rPr>
          <w:lang w:val="en-US"/>
        </w:rPr>
        <w:t xml:space="preserve"> technology driven threats and opportunities that are critical to the safety, unity and prosperity of Australia.</w:t>
      </w:r>
      <w:r w:rsidR="00BA6D11" w:rsidRPr="0044229D">
        <w:t xml:space="preserve"> </w:t>
      </w:r>
    </w:p>
    <w:p w:rsidR="00BA6D11" w:rsidRDefault="0044229D" w:rsidP="008019BC">
      <w:pPr>
        <w:pStyle w:val="Heading3"/>
        <w:numPr>
          <w:ilvl w:val="0"/>
          <w:numId w:val="6"/>
        </w:numPr>
        <w:jc w:val="both"/>
      </w:pPr>
      <w:r w:rsidRPr="0044229D">
        <w:t xml:space="preserve">Inculcate a broader awareness of the role of socio-technical analysis within Defence by </w:t>
      </w:r>
      <w:r w:rsidR="00BA6D11">
        <w:t>providing</w:t>
      </w:r>
      <w:r w:rsidRPr="0044229D">
        <w:t xml:space="preserve"> a </w:t>
      </w:r>
      <w:r w:rsidRPr="0044229D">
        <w:rPr>
          <w:i/>
        </w:rPr>
        <w:t>socio-technical capability</w:t>
      </w:r>
      <w:r w:rsidRPr="0044229D">
        <w:t xml:space="preserve"> to deliver on </w:t>
      </w:r>
      <w:r w:rsidR="00BA6D11">
        <w:t>its</w:t>
      </w:r>
      <w:r w:rsidRPr="0044229D">
        <w:t xml:space="preserve"> vision of improving Government’s strategic understanding of future Defence and joint force capabilities, concepts, contexts and technology trends to address threats and develop opportunities.</w:t>
      </w:r>
    </w:p>
    <w:p w:rsidR="0044229D" w:rsidRPr="0044229D" w:rsidRDefault="0044229D" w:rsidP="008019BC">
      <w:pPr>
        <w:pStyle w:val="Heading3"/>
        <w:numPr>
          <w:ilvl w:val="0"/>
          <w:numId w:val="6"/>
        </w:numPr>
        <w:jc w:val="both"/>
      </w:pPr>
      <w:r w:rsidRPr="0044229D">
        <w:t xml:space="preserve">Empower and </w:t>
      </w:r>
      <w:r w:rsidR="00BA6D11">
        <w:t>enrich</w:t>
      </w:r>
      <w:r w:rsidRPr="0044229D">
        <w:t xml:space="preserve"> Government narr</w:t>
      </w:r>
      <w:r w:rsidR="001E123A">
        <w:t>ative on critical technologies</w:t>
      </w:r>
      <w:r w:rsidRPr="0044229D">
        <w:t xml:space="preserve"> by enabling collaboration with domestic and international partners in the development and improvement</w:t>
      </w:r>
      <w:r w:rsidR="00CF76F1">
        <w:t xml:space="preserve"> </w:t>
      </w:r>
      <w:r w:rsidRPr="0044229D">
        <w:t xml:space="preserve">of </w:t>
      </w:r>
      <w:r w:rsidRPr="0044229D">
        <w:rPr>
          <w:i/>
        </w:rPr>
        <w:t>socially inspired</w:t>
      </w:r>
      <w:r w:rsidRPr="0044229D">
        <w:t xml:space="preserve"> tools, techniques and methods for technology foresight and impact assessment.</w:t>
      </w:r>
    </w:p>
    <w:p w:rsidR="00BA6D11" w:rsidRPr="00AC17CE" w:rsidRDefault="00BA6D11" w:rsidP="00BA6D11">
      <w:pPr>
        <w:pStyle w:val="Heading2"/>
        <w:ind w:left="851" w:right="851"/>
      </w:pPr>
      <w:r>
        <w:t>Research Focus Areas</w:t>
      </w:r>
    </w:p>
    <w:p w:rsidR="008019BC" w:rsidRDefault="00BA6D11" w:rsidP="00094700">
      <w:pPr>
        <w:pStyle w:val="Heading3"/>
        <w:numPr>
          <w:ilvl w:val="0"/>
          <w:numId w:val="0"/>
        </w:numPr>
        <w:ind w:left="851" w:hanging="360"/>
        <w:jc w:val="both"/>
      </w:pPr>
      <w:r>
        <w:tab/>
      </w:r>
      <w:r w:rsidR="00BD3DF6">
        <w:t xml:space="preserve">To support this effort, </w:t>
      </w:r>
      <w:r w:rsidR="003B051A">
        <w:t>DSTG</w:t>
      </w:r>
      <w:r>
        <w:t xml:space="preserve"> anticipate</w:t>
      </w:r>
      <w:r w:rsidR="003B051A">
        <w:t>s</w:t>
      </w:r>
      <w:r>
        <w:t xml:space="preserve"> operating a</w:t>
      </w:r>
      <w:r w:rsidR="008019BC">
        <w:t xml:space="preserve"> </w:t>
      </w:r>
      <w:r w:rsidR="00144434">
        <w:t>modestly funded</w:t>
      </w:r>
      <w:r>
        <w:t xml:space="preserve"> targeted </w:t>
      </w:r>
      <w:r w:rsidR="00144434">
        <w:t>research and publication</w:t>
      </w:r>
      <w:r>
        <w:t xml:space="preserve"> scheme in </w:t>
      </w:r>
      <w:r w:rsidR="00D60BFC">
        <w:t xml:space="preserve">the current and </w:t>
      </w:r>
      <w:r>
        <w:t xml:space="preserve">forward </w:t>
      </w:r>
      <w:r w:rsidR="000D41CD">
        <w:t xml:space="preserve">financial </w:t>
      </w:r>
      <w:r>
        <w:t>year</w:t>
      </w:r>
      <w:r w:rsidR="00716DFE">
        <w:t>(</w:t>
      </w:r>
      <w:r>
        <w:t>s</w:t>
      </w:r>
      <w:r w:rsidR="00716DFE">
        <w:t>)</w:t>
      </w:r>
      <w:r>
        <w:t xml:space="preserve"> </w:t>
      </w:r>
      <w:r w:rsidR="008019BC">
        <w:t xml:space="preserve">with a </w:t>
      </w:r>
      <w:r w:rsidR="008019BC">
        <w:lastRenderedPageBreak/>
        <w:t>view toward funding</w:t>
      </w:r>
      <w:r w:rsidR="007213BC">
        <w:t xml:space="preserve"> externally publishable</w:t>
      </w:r>
      <w:r w:rsidR="008019BC">
        <w:t xml:space="preserve"> socio-technical research on the following non-exhaustive priority research areas:</w:t>
      </w:r>
    </w:p>
    <w:p w:rsidR="008019BC" w:rsidRDefault="008019BC" w:rsidP="00094700">
      <w:pPr>
        <w:pStyle w:val="Heading3"/>
        <w:numPr>
          <w:ilvl w:val="0"/>
          <w:numId w:val="7"/>
        </w:numPr>
        <w:jc w:val="both"/>
      </w:pPr>
      <w:proofErr w:type="gramStart"/>
      <w:r>
        <w:t>concepts</w:t>
      </w:r>
      <w:proofErr w:type="gramEnd"/>
      <w:r>
        <w:t xml:space="preserve"> and theories that integrate or otherwise account for the interplay between emerging and potentially disruptive technologies and society;</w:t>
      </w:r>
    </w:p>
    <w:p w:rsidR="008019BC" w:rsidRDefault="008019BC" w:rsidP="00094700">
      <w:pPr>
        <w:pStyle w:val="Heading3"/>
        <w:numPr>
          <w:ilvl w:val="0"/>
          <w:numId w:val="7"/>
        </w:numPr>
        <w:jc w:val="both"/>
      </w:pPr>
      <w:proofErr w:type="gramStart"/>
      <w:r>
        <w:t>comparative</w:t>
      </w:r>
      <w:proofErr w:type="gramEnd"/>
      <w:r>
        <w:t xml:space="preserve"> analysis of the consideration of social factors in international approaches to critical technology foresight;</w:t>
      </w:r>
    </w:p>
    <w:p w:rsidR="008019BC" w:rsidRDefault="008019BC" w:rsidP="00094700">
      <w:pPr>
        <w:pStyle w:val="Heading3"/>
        <w:numPr>
          <w:ilvl w:val="0"/>
          <w:numId w:val="7"/>
        </w:numPr>
        <w:jc w:val="both"/>
      </w:pPr>
      <w:proofErr w:type="gramStart"/>
      <w:r>
        <w:t>analytical</w:t>
      </w:r>
      <w:proofErr w:type="gramEnd"/>
      <w:r>
        <w:t xml:space="preserve"> models for assessing the societal impact of emerging and potentially disruptive technologies;</w:t>
      </w:r>
    </w:p>
    <w:p w:rsidR="008019BC" w:rsidRDefault="008019BC" w:rsidP="00094700">
      <w:pPr>
        <w:pStyle w:val="Heading3"/>
        <w:numPr>
          <w:ilvl w:val="0"/>
          <w:numId w:val="7"/>
        </w:numPr>
        <w:jc w:val="both"/>
      </w:pPr>
      <w:proofErr w:type="gramStart"/>
      <w:r>
        <w:t>methodologies</w:t>
      </w:r>
      <w:proofErr w:type="gramEnd"/>
      <w:r>
        <w:t xml:space="preserve"> for designing, developing and deploying technologies in a socially-responsible manner;</w:t>
      </w:r>
    </w:p>
    <w:p w:rsidR="008019BC" w:rsidRDefault="003B051A" w:rsidP="00094700">
      <w:pPr>
        <w:pStyle w:val="Heading3"/>
        <w:numPr>
          <w:ilvl w:val="0"/>
          <w:numId w:val="7"/>
        </w:numPr>
        <w:jc w:val="both"/>
      </w:pPr>
      <w:proofErr w:type="gramStart"/>
      <w:r>
        <w:t>social</w:t>
      </w:r>
      <w:proofErr w:type="gramEnd"/>
      <w:r>
        <w:t xml:space="preserve"> analysis of technological convergence; and</w:t>
      </w:r>
    </w:p>
    <w:p w:rsidR="00144434" w:rsidRDefault="003B051A" w:rsidP="00094700">
      <w:pPr>
        <w:pStyle w:val="Heading3"/>
        <w:numPr>
          <w:ilvl w:val="0"/>
          <w:numId w:val="7"/>
        </w:numPr>
        <w:jc w:val="both"/>
      </w:pPr>
      <w:proofErr w:type="gramStart"/>
      <w:r>
        <w:t>the</w:t>
      </w:r>
      <w:proofErr w:type="gramEnd"/>
      <w:r>
        <w:t xml:space="preserve"> role of technology in preserving social cohesion in times of insecurity.</w:t>
      </w:r>
    </w:p>
    <w:p w:rsidR="005E3115" w:rsidRDefault="00144434" w:rsidP="005E3115">
      <w:pPr>
        <w:pStyle w:val="Heading3"/>
        <w:numPr>
          <w:ilvl w:val="0"/>
          <w:numId w:val="0"/>
        </w:numPr>
        <w:tabs>
          <w:tab w:val="clear" w:pos="1134"/>
          <w:tab w:val="left" w:pos="851"/>
        </w:tabs>
        <w:ind w:left="851"/>
        <w:jc w:val="both"/>
      </w:pPr>
      <w:r>
        <w:t>There is particular interest in</w:t>
      </w:r>
      <w:r w:rsidR="002A3514">
        <w:t xml:space="preserve"> </w:t>
      </w:r>
      <w:r>
        <w:t xml:space="preserve">research that is focused on furthering Defence outcomes, but consideration will also be given to </w:t>
      </w:r>
      <w:r w:rsidR="00AE79F2">
        <w:t>more general</w:t>
      </w:r>
      <w:r>
        <w:t xml:space="preserve"> research that may be applicable </w:t>
      </w:r>
      <w:r w:rsidR="00716DFE">
        <w:t>to</w:t>
      </w:r>
      <w:r>
        <w:t xml:space="preserve"> </w:t>
      </w:r>
      <w:r w:rsidR="00716DFE">
        <w:t xml:space="preserve">internal </w:t>
      </w:r>
      <w:r>
        <w:t>subject-matter experts.</w:t>
      </w:r>
      <w:r w:rsidR="00094700">
        <w:t xml:space="preserve"> </w:t>
      </w:r>
      <w:r w:rsidR="005E3115">
        <w:t xml:space="preserve">Preference may be given to responses that aim to collaboratively develop research with DSTG Socio-Technical Futures Analysis experts. </w:t>
      </w:r>
    </w:p>
    <w:p w:rsidR="00094700" w:rsidRDefault="00B1430C" w:rsidP="007213BC">
      <w:pPr>
        <w:pStyle w:val="Heading3"/>
        <w:numPr>
          <w:ilvl w:val="0"/>
          <w:numId w:val="0"/>
        </w:numPr>
        <w:tabs>
          <w:tab w:val="clear" w:pos="1134"/>
          <w:tab w:val="left" w:pos="851"/>
        </w:tabs>
        <w:ind w:left="851"/>
        <w:jc w:val="both"/>
      </w:pPr>
      <w:r>
        <w:t>I</w:t>
      </w:r>
      <w:r w:rsidR="002A3514">
        <w:t xml:space="preserve">nitially, there may be a preference for work that expands Defence capability to understand socio-technical outcomes at a general or technology-cluster level over work over that is limited to specific technologies. </w:t>
      </w:r>
    </w:p>
    <w:p w:rsidR="00094700" w:rsidRPr="00AC17CE" w:rsidRDefault="00094700" w:rsidP="00094700">
      <w:pPr>
        <w:pStyle w:val="Heading2"/>
        <w:ind w:left="851" w:right="851"/>
      </w:pPr>
      <w:r>
        <w:t>Request for Information</w:t>
      </w:r>
    </w:p>
    <w:p w:rsidR="00CF76F1" w:rsidRDefault="00CF76F1" w:rsidP="007213BC">
      <w:pPr>
        <w:pStyle w:val="Heading3"/>
        <w:numPr>
          <w:ilvl w:val="0"/>
          <w:numId w:val="0"/>
        </w:numPr>
        <w:ind w:left="852"/>
        <w:jc w:val="both"/>
      </w:pPr>
      <w:r>
        <w:t>DSTG</w:t>
      </w:r>
      <w:r w:rsidR="00BD3DF6">
        <w:t xml:space="preserve"> </w:t>
      </w:r>
      <w:r>
        <w:t xml:space="preserve">requests that parties interested in </w:t>
      </w:r>
      <w:r w:rsidR="007213BC">
        <w:t xml:space="preserve">projects in line with </w:t>
      </w:r>
      <w:r>
        <w:t>any of the above Socio-Technical Futures Analysis Research Focus Areas complete the form below as an expression of interest</w:t>
      </w:r>
      <w:r w:rsidR="009819D7">
        <w:t xml:space="preserve"> by no later than </w:t>
      </w:r>
      <w:r w:rsidR="009819D7" w:rsidRPr="00531D72">
        <w:rPr>
          <w:b/>
        </w:rPr>
        <w:t>30 September</w:t>
      </w:r>
      <w:r w:rsidR="009A22A0">
        <w:rPr>
          <w:b/>
        </w:rPr>
        <w:t xml:space="preserve"> 2022</w:t>
      </w:r>
      <w:r>
        <w:t>. Responses will be stored, assessed and investigated</w:t>
      </w:r>
      <w:r w:rsidR="009819D7">
        <w:t xml:space="preserve"> on a rolling basis</w:t>
      </w:r>
      <w:r>
        <w:t xml:space="preserve"> in</w:t>
      </w:r>
      <w:r w:rsidR="00094BE0">
        <w:t xml:space="preserve"> </w:t>
      </w:r>
      <w:r>
        <w:t xml:space="preserve">line with ongoing priorities and </w:t>
      </w:r>
      <w:r>
        <w:lastRenderedPageBreak/>
        <w:t>available funding</w:t>
      </w:r>
      <w:r w:rsidR="00BD3DF6">
        <w:t>.</w:t>
      </w:r>
      <w:r w:rsidR="007213BC">
        <w:t xml:space="preserve"> </w:t>
      </w:r>
      <w:r>
        <w:t>There is no set timeline for answering responses to the request but all will be acknow</w:t>
      </w:r>
      <w:r w:rsidR="00EE1C5D">
        <w:t>ledged via email.</w:t>
      </w:r>
    </w:p>
    <w:p w:rsidR="007213BC" w:rsidRPr="007213BC" w:rsidRDefault="007213BC" w:rsidP="00EE1C5D">
      <w:pPr>
        <w:pStyle w:val="Heading3"/>
        <w:numPr>
          <w:ilvl w:val="0"/>
          <w:numId w:val="0"/>
        </w:numPr>
        <w:ind w:left="852"/>
        <w:jc w:val="both"/>
        <w:rPr>
          <w:u w:val="single"/>
        </w:rPr>
      </w:pPr>
      <w:r w:rsidRPr="007213BC">
        <w:rPr>
          <w:u w:val="single"/>
        </w:rPr>
        <w:t>Expected Output</w:t>
      </w:r>
    </w:p>
    <w:p w:rsidR="007213BC" w:rsidRDefault="007213BC" w:rsidP="00EE1C5D">
      <w:pPr>
        <w:pStyle w:val="Heading3"/>
        <w:numPr>
          <w:ilvl w:val="0"/>
          <w:numId w:val="0"/>
        </w:numPr>
        <w:ind w:left="852"/>
        <w:jc w:val="both"/>
      </w:pPr>
      <w:r>
        <w:t xml:space="preserve">The preferred output is a scholarly journal article suitable for external publication in a reputable outlet. </w:t>
      </w:r>
    </w:p>
    <w:p w:rsidR="00CF76F1" w:rsidRDefault="007213BC" w:rsidP="00EE1C5D">
      <w:pPr>
        <w:pStyle w:val="Heading3"/>
        <w:numPr>
          <w:ilvl w:val="0"/>
          <w:numId w:val="0"/>
        </w:numPr>
        <w:ind w:left="852"/>
        <w:jc w:val="both"/>
      </w:pPr>
      <w:r>
        <w:t>Other output formats, such as internal reports, tools and so on, will be considered on a case-by-case basis.</w:t>
      </w:r>
    </w:p>
    <w:p w:rsidR="007213BC" w:rsidRPr="007213BC" w:rsidRDefault="00EE1C5D" w:rsidP="00EE1C5D">
      <w:pPr>
        <w:pStyle w:val="Heading3"/>
        <w:numPr>
          <w:ilvl w:val="0"/>
          <w:numId w:val="0"/>
        </w:numPr>
        <w:ind w:left="852"/>
        <w:jc w:val="both"/>
        <w:rPr>
          <w:u w:val="single"/>
        </w:rPr>
      </w:pPr>
      <w:r>
        <w:rPr>
          <w:u w:val="single"/>
        </w:rPr>
        <w:t>Timeline &amp; Quantum</w:t>
      </w:r>
    </w:p>
    <w:p w:rsidR="00EE1C5D" w:rsidRDefault="007213BC" w:rsidP="00EE1C5D">
      <w:pPr>
        <w:pStyle w:val="Heading3"/>
        <w:numPr>
          <w:ilvl w:val="0"/>
          <w:numId w:val="0"/>
        </w:numPr>
        <w:ind w:left="852"/>
        <w:jc w:val="both"/>
      </w:pPr>
      <w:r>
        <w:t xml:space="preserve">Responses are sought for projects </w:t>
      </w:r>
      <w:r w:rsidR="00EE1C5D">
        <w:t xml:space="preserve">that are ready to execute at relatively short notice and can be completed in a maximum of </w:t>
      </w:r>
      <w:r w:rsidR="00EE1C5D" w:rsidRPr="00EE1C5D">
        <w:rPr>
          <w:b/>
        </w:rPr>
        <w:t>9 months</w:t>
      </w:r>
      <w:r w:rsidR="00EE1C5D">
        <w:t xml:space="preserve">, in the first instance. Multi-year projects may be considered on an exceptional </w:t>
      </w:r>
      <w:r w:rsidR="00DB548A">
        <w:t xml:space="preserve">and staggered/staged </w:t>
      </w:r>
      <w:r w:rsidR="0078204B">
        <w:t>basis, with each stage independently impactful.</w:t>
      </w:r>
    </w:p>
    <w:p w:rsidR="00EE1C5D" w:rsidRDefault="00EE1C5D" w:rsidP="00EE1C5D">
      <w:pPr>
        <w:pStyle w:val="Heading3"/>
        <w:numPr>
          <w:ilvl w:val="0"/>
          <w:numId w:val="0"/>
        </w:numPr>
        <w:ind w:left="852"/>
        <w:jc w:val="both"/>
      </w:pPr>
      <w:r>
        <w:t>Any projects that involve human or animal research must be cleared by the relevant Defence ethics committee, which can add several months to project timelines.</w:t>
      </w:r>
      <w:r w:rsidR="007066A3">
        <w:t xml:space="preserve"> If required, you will be informed of the process at a later stage.</w:t>
      </w:r>
    </w:p>
    <w:p w:rsidR="007213BC" w:rsidRDefault="00EE1C5D" w:rsidP="00EE1C5D">
      <w:pPr>
        <w:pStyle w:val="Heading3"/>
        <w:numPr>
          <w:ilvl w:val="0"/>
          <w:numId w:val="0"/>
        </w:numPr>
        <w:ind w:left="852"/>
        <w:jc w:val="both"/>
      </w:pPr>
      <w:r>
        <w:t xml:space="preserve">Projects </w:t>
      </w:r>
      <w:r w:rsidR="001E2690">
        <w:t>must</w:t>
      </w:r>
      <w:r>
        <w:t xml:space="preserve"> be achievable within a </w:t>
      </w:r>
      <w:r w:rsidR="002765FD">
        <w:t xml:space="preserve">maximum </w:t>
      </w:r>
      <w:r>
        <w:t>rough order of magnitude</w:t>
      </w:r>
      <w:r w:rsidR="002765FD">
        <w:t xml:space="preserve"> </w:t>
      </w:r>
      <w:r w:rsidR="00B1430C">
        <w:t>(</w:t>
      </w:r>
      <w:r w:rsidR="002765FD">
        <w:t>ROM)</w:t>
      </w:r>
      <w:r w:rsidR="007213BC">
        <w:t xml:space="preserve"> </w:t>
      </w:r>
      <w:r>
        <w:t xml:space="preserve">of </w:t>
      </w:r>
      <w:r w:rsidR="007213BC" w:rsidRPr="00EE1C5D">
        <w:rPr>
          <w:b/>
        </w:rPr>
        <w:t>$75,000.00</w:t>
      </w:r>
      <w:r>
        <w:t>.</w:t>
      </w:r>
      <w:r w:rsidR="001E2690">
        <w:t xml:space="preserve"> It is anticipated that DSTG </w:t>
      </w:r>
      <w:r w:rsidR="002765FD">
        <w:t>will</w:t>
      </w:r>
      <w:r w:rsidR="001E2690">
        <w:t xml:space="preserve"> be </w:t>
      </w:r>
      <w:r w:rsidR="002765FD">
        <w:t>able</w:t>
      </w:r>
      <w:r w:rsidR="001E2690">
        <w:t xml:space="preserve"> to support </w:t>
      </w:r>
      <w:r w:rsidR="002765FD">
        <w:t>no more than 5 projects</w:t>
      </w:r>
      <w:r w:rsidR="008A4CDC">
        <w:t xml:space="preserve"> </w:t>
      </w:r>
      <w:r w:rsidR="002765FD">
        <w:t xml:space="preserve">per year and that the </w:t>
      </w:r>
      <w:r w:rsidR="009819D7">
        <w:t>many</w:t>
      </w:r>
      <w:r w:rsidR="002765FD">
        <w:t xml:space="preserve"> of these will be </w:t>
      </w:r>
      <w:r w:rsidR="00DB548A">
        <w:t>achievable</w:t>
      </w:r>
      <w:r w:rsidR="002765FD">
        <w:t xml:space="preserve"> at less than the maximum ROM cost.</w:t>
      </w:r>
    </w:p>
    <w:p w:rsidR="000D41CD" w:rsidRDefault="000D41CD" w:rsidP="00EE1C5D">
      <w:pPr>
        <w:pStyle w:val="Heading3"/>
        <w:numPr>
          <w:ilvl w:val="0"/>
          <w:numId w:val="0"/>
        </w:numPr>
        <w:ind w:left="852"/>
        <w:jc w:val="both"/>
      </w:pPr>
      <w:r>
        <w:t>Any potential university overheads, mark-ups or similar must be clearly outlined to establish value for money and expected return on investment.</w:t>
      </w:r>
    </w:p>
    <w:p w:rsidR="007D1EA8" w:rsidRPr="007D1EA8" w:rsidRDefault="000D41CD" w:rsidP="007D1EA8">
      <w:pPr>
        <w:pStyle w:val="Heading3"/>
        <w:numPr>
          <w:ilvl w:val="0"/>
          <w:numId w:val="0"/>
        </w:numPr>
        <w:ind w:left="852"/>
        <w:jc w:val="both"/>
        <w:rPr>
          <w:u w:val="single"/>
        </w:rPr>
      </w:pPr>
      <w:r>
        <w:rPr>
          <w:u w:val="single"/>
        </w:rPr>
        <w:t>Eligibility</w:t>
      </w:r>
    </w:p>
    <w:p w:rsidR="007D1EA8" w:rsidRDefault="007D1EA8" w:rsidP="007D1EA8">
      <w:pPr>
        <w:pStyle w:val="Heading3"/>
        <w:numPr>
          <w:ilvl w:val="0"/>
          <w:numId w:val="0"/>
        </w:numPr>
        <w:ind w:left="852"/>
        <w:jc w:val="both"/>
      </w:pPr>
      <w:r>
        <w:t xml:space="preserve">Individuals must apply on behalf of the organisation with which they are affiliated, such as a university, not-for-profit organisation or research organisation/consulting firm. </w:t>
      </w:r>
      <w:r w:rsidR="009B57EC">
        <w:t xml:space="preserve">All organisations or individuals must hold an ABN. </w:t>
      </w:r>
      <w:r>
        <w:t xml:space="preserve">Joint applications are welcome, contingent upon any consortium having a lead organisation. To be a lead, an applicant must designate the main contact and/or project manager. International </w:t>
      </w:r>
      <w:r>
        <w:lastRenderedPageBreak/>
        <w:t>applicants are eligible, provided they can demonstrate the qualifications, skills and necessary background for the topic and activity proposed.</w:t>
      </w:r>
    </w:p>
    <w:p w:rsidR="000D41CD" w:rsidRDefault="000D41CD" w:rsidP="007D1EA8">
      <w:pPr>
        <w:pStyle w:val="Heading3"/>
        <w:numPr>
          <w:ilvl w:val="0"/>
          <w:numId w:val="0"/>
        </w:numPr>
        <w:ind w:left="852"/>
        <w:jc w:val="both"/>
        <w:rPr>
          <w:u w:val="single"/>
        </w:rPr>
      </w:pPr>
      <w:r>
        <w:rPr>
          <w:u w:val="single"/>
        </w:rPr>
        <w:t>Response Details</w:t>
      </w:r>
    </w:p>
    <w:p w:rsidR="00A45FF2" w:rsidRPr="00A45FF2" w:rsidRDefault="00A45FF2" w:rsidP="00A45FF2">
      <w:pPr>
        <w:pStyle w:val="Heading3"/>
        <w:numPr>
          <w:ilvl w:val="0"/>
          <w:numId w:val="0"/>
        </w:numPr>
        <w:ind w:left="852"/>
        <w:jc w:val="both"/>
      </w:pPr>
      <w:r w:rsidRPr="00A45FF2">
        <w:t>Responses</w:t>
      </w:r>
      <w:r>
        <w:t xml:space="preserve"> should be provided as an A4 Word document to the contact address below and include the following details:</w:t>
      </w:r>
    </w:p>
    <w:p w:rsidR="00A45FF2" w:rsidRPr="00A45FF2" w:rsidRDefault="007066A3" w:rsidP="00A45FF2">
      <w:pPr>
        <w:pStyle w:val="Heading3"/>
        <w:numPr>
          <w:ilvl w:val="0"/>
          <w:numId w:val="8"/>
        </w:numPr>
        <w:ind w:left="1843" w:hanging="631"/>
        <w:jc w:val="both"/>
      </w:pPr>
      <w:r w:rsidRPr="00A45FF2">
        <w:t>Title:</w:t>
      </w:r>
    </w:p>
    <w:p w:rsidR="000D41CD" w:rsidRPr="00A45FF2" w:rsidRDefault="007066A3" w:rsidP="00A45FF2">
      <w:pPr>
        <w:pStyle w:val="Heading3"/>
        <w:numPr>
          <w:ilvl w:val="0"/>
          <w:numId w:val="8"/>
        </w:numPr>
        <w:ind w:left="1843" w:hanging="631"/>
        <w:jc w:val="both"/>
      </w:pPr>
      <w:r w:rsidRPr="00A45FF2">
        <w:t>Name:</w:t>
      </w:r>
    </w:p>
    <w:p w:rsidR="00A45FF2" w:rsidRPr="00A45FF2" w:rsidRDefault="007066A3" w:rsidP="00A45FF2">
      <w:pPr>
        <w:pStyle w:val="Heading3"/>
        <w:numPr>
          <w:ilvl w:val="0"/>
          <w:numId w:val="8"/>
        </w:numPr>
        <w:ind w:left="1843" w:hanging="631"/>
        <w:jc w:val="both"/>
      </w:pPr>
      <w:r w:rsidRPr="00A45FF2">
        <w:t>Position:</w:t>
      </w:r>
    </w:p>
    <w:p w:rsidR="00A45FF2" w:rsidRPr="00A45FF2" w:rsidRDefault="007066A3" w:rsidP="00A45FF2">
      <w:pPr>
        <w:pStyle w:val="Heading3"/>
        <w:numPr>
          <w:ilvl w:val="0"/>
          <w:numId w:val="8"/>
        </w:numPr>
        <w:ind w:left="1843" w:hanging="631"/>
        <w:jc w:val="both"/>
      </w:pPr>
      <w:r>
        <w:t>Administering organisation</w:t>
      </w:r>
      <w:r w:rsidRPr="00A45FF2">
        <w:t>:</w:t>
      </w:r>
    </w:p>
    <w:p w:rsidR="00A45FF2" w:rsidRPr="00A45FF2" w:rsidRDefault="007066A3" w:rsidP="00A45FF2">
      <w:pPr>
        <w:pStyle w:val="Heading3"/>
        <w:numPr>
          <w:ilvl w:val="0"/>
          <w:numId w:val="8"/>
        </w:numPr>
        <w:ind w:left="1843" w:hanging="631"/>
        <w:jc w:val="both"/>
      </w:pPr>
      <w:r>
        <w:t>Intended</w:t>
      </w:r>
      <w:r w:rsidRPr="00A45FF2">
        <w:t xml:space="preserve"> project title (max. 30 words):</w:t>
      </w:r>
    </w:p>
    <w:p w:rsidR="00A45FF2" w:rsidRDefault="007066A3" w:rsidP="00A45FF2">
      <w:pPr>
        <w:pStyle w:val="Heading3"/>
        <w:numPr>
          <w:ilvl w:val="0"/>
          <w:numId w:val="8"/>
        </w:numPr>
        <w:ind w:left="1843" w:hanging="631"/>
        <w:jc w:val="both"/>
      </w:pPr>
      <w:r w:rsidRPr="00A45FF2">
        <w:t>Abstract/executive summary (max. 100 words):</w:t>
      </w:r>
    </w:p>
    <w:p w:rsidR="007066A3" w:rsidRPr="00A45FF2" w:rsidRDefault="007066A3" w:rsidP="00A45FF2">
      <w:pPr>
        <w:pStyle w:val="Heading3"/>
        <w:numPr>
          <w:ilvl w:val="0"/>
          <w:numId w:val="8"/>
        </w:numPr>
        <w:ind w:left="1843" w:hanging="631"/>
        <w:jc w:val="both"/>
      </w:pPr>
      <w:r>
        <w:t>Intended methodology (</w:t>
      </w:r>
      <w:r w:rsidR="00531D72">
        <w:t xml:space="preserve">if applicable, </w:t>
      </w:r>
      <w:r>
        <w:t xml:space="preserve">max. </w:t>
      </w:r>
      <w:r w:rsidR="00531D72">
        <w:t>400</w:t>
      </w:r>
      <w:r>
        <w:t xml:space="preserve"> words)</w:t>
      </w:r>
    </w:p>
    <w:p w:rsidR="00A45FF2" w:rsidRPr="00A45FF2" w:rsidRDefault="007066A3" w:rsidP="00A45FF2">
      <w:pPr>
        <w:pStyle w:val="Heading3"/>
        <w:numPr>
          <w:ilvl w:val="0"/>
          <w:numId w:val="8"/>
        </w:numPr>
        <w:ind w:left="1843" w:hanging="631"/>
        <w:jc w:val="both"/>
      </w:pPr>
      <w:r>
        <w:t>Detailed summary of the intended research</w:t>
      </w:r>
      <w:r w:rsidRPr="00A45FF2">
        <w:t xml:space="preserve"> (max. </w:t>
      </w:r>
      <w:r w:rsidR="00531D72">
        <w:t>1200</w:t>
      </w:r>
      <w:r w:rsidRPr="00A45FF2">
        <w:t xml:space="preserve"> words):</w:t>
      </w:r>
    </w:p>
    <w:p w:rsidR="00A45FF2" w:rsidRDefault="007066A3" w:rsidP="00A45FF2">
      <w:pPr>
        <w:pStyle w:val="Heading3"/>
        <w:numPr>
          <w:ilvl w:val="0"/>
          <w:numId w:val="8"/>
        </w:numPr>
        <w:ind w:left="1843" w:hanging="631"/>
        <w:jc w:val="both"/>
      </w:pPr>
      <w:r w:rsidRPr="00A45FF2">
        <w:t xml:space="preserve">Proposed output/deliverable: </w:t>
      </w:r>
    </w:p>
    <w:p w:rsidR="007066A3" w:rsidRDefault="007066A3" w:rsidP="00A45FF2">
      <w:pPr>
        <w:pStyle w:val="Heading3"/>
        <w:numPr>
          <w:ilvl w:val="0"/>
          <w:numId w:val="8"/>
        </w:numPr>
        <w:ind w:left="1843" w:hanging="631"/>
        <w:jc w:val="both"/>
      </w:pPr>
      <w:r>
        <w:t>Statement of the PI’s qualifications, expertise and suitability (max. 300 words</w:t>
      </w:r>
      <w:r w:rsidR="00531D72">
        <w:t>, plus a website link</w:t>
      </w:r>
      <w:r>
        <w:t>):</w:t>
      </w:r>
    </w:p>
    <w:p w:rsidR="00A45FF2" w:rsidRDefault="007066A3" w:rsidP="00A45FF2">
      <w:pPr>
        <w:pStyle w:val="Heading3"/>
        <w:numPr>
          <w:ilvl w:val="0"/>
          <w:numId w:val="8"/>
        </w:numPr>
        <w:ind w:left="1843" w:hanging="631"/>
        <w:jc w:val="both"/>
      </w:pPr>
      <w:r>
        <w:t>Participant summary (details of investigators beyond the PI):</w:t>
      </w:r>
    </w:p>
    <w:p w:rsidR="007066A3" w:rsidRPr="00A45FF2" w:rsidRDefault="007066A3" w:rsidP="00A45FF2">
      <w:pPr>
        <w:pStyle w:val="Heading3"/>
        <w:numPr>
          <w:ilvl w:val="0"/>
          <w:numId w:val="8"/>
        </w:numPr>
        <w:ind w:left="1843" w:hanging="631"/>
        <w:jc w:val="both"/>
      </w:pPr>
      <w:r>
        <w:t>Will the research involve collaboration with any other party within or beyond Defence?</w:t>
      </w:r>
    </w:p>
    <w:p w:rsidR="00A45FF2" w:rsidRDefault="007066A3" w:rsidP="00A45FF2">
      <w:pPr>
        <w:pStyle w:val="Heading3"/>
        <w:numPr>
          <w:ilvl w:val="0"/>
          <w:numId w:val="8"/>
        </w:numPr>
        <w:ind w:left="1843" w:hanging="631"/>
        <w:jc w:val="both"/>
      </w:pPr>
      <w:r w:rsidRPr="00A45FF2">
        <w:t>Approximate timeline (as</w:t>
      </w:r>
      <w:r w:rsidR="00CE019E">
        <w:t>suming</w:t>
      </w:r>
      <w:r w:rsidR="00531D72">
        <w:t xml:space="preserve"> a contract is issued in September</w:t>
      </w:r>
      <w:r w:rsidRPr="00A45FF2">
        <w:t>):</w:t>
      </w:r>
    </w:p>
    <w:p w:rsidR="00F217A2" w:rsidRDefault="007066A3" w:rsidP="00F217A2">
      <w:pPr>
        <w:pStyle w:val="Heading3"/>
        <w:numPr>
          <w:ilvl w:val="0"/>
          <w:numId w:val="8"/>
        </w:numPr>
        <w:ind w:left="1843" w:hanging="631"/>
        <w:jc w:val="both"/>
      </w:pPr>
      <w:r>
        <w:t>Outcomes and relevance to DSTG’s stated Socio-Technical Futures Analysis aims and research focus area/s</w:t>
      </w:r>
      <w:r w:rsidRPr="00A45FF2">
        <w:t xml:space="preserve"> (max. 500 words):</w:t>
      </w:r>
      <w:r w:rsidR="00F217A2">
        <w:t xml:space="preserve"> </w:t>
      </w:r>
    </w:p>
    <w:p w:rsidR="007943AE" w:rsidRDefault="007943AE" w:rsidP="00AF5F22">
      <w:pPr>
        <w:pStyle w:val="Heading2"/>
        <w:ind w:left="851" w:right="851"/>
      </w:pPr>
      <w:r>
        <w:t>Contacts</w:t>
      </w:r>
    </w:p>
    <w:p w:rsidR="007943AE" w:rsidRDefault="007943AE" w:rsidP="007943AE">
      <w:pPr>
        <w:pStyle w:val="Heading3"/>
        <w:numPr>
          <w:ilvl w:val="0"/>
          <w:numId w:val="0"/>
        </w:numPr>
        <w:ind w:left="852"/>
        <w:jc w:val="both"/>
      </w:pPr>
      <w:r>
        <w:t>Questions and responses</w:t>
      </w:r>
      <w:r w:rsidR="007D219B">
        <w:t xml:space="preserve"> (Subject line: STFA APPLICATION)</w:t>
      </w:r>
      <w:r>
        <w:t xml:space="preserve"> can be submitted to:</w:t>
      </w:r>
    </w:p>
    <w:p w:rsidR="00F217A2" w:rsidRPr="00013C44" w:rsidRDefault="007943AE" w:rsidP="007943AE">
      <w:pPr>
        <w:pStyle w:val="Heading3"/>
        <w:numPr>
          <w:ilvl w:val="0"/>
          <w:numId w:val="0"/>
        </w:numPr>
        <w:ind w:left="852"/>
        <w:jc w:val="both"/>
      </w:pPr>
      <w:r>
        <w:t>Hon. A/Professor Jai Galliott</w:t>
      </w:r>
      <w:r>
        <w:tab/>
      </w:r>
      <w:r>
        <w:br/>
        <w:t>Socio-Technical Futures</w:t>
      </w:r>
      <w:r w:rsidR="00531D72">
        <w:t xml:space="preserve"> Analysis</w:t>
      </w:r>
      <w:r>
        <w:t xml:space="preserve"> Discipline Leader</w:t>
      </w:r>
      <w:r>
        <w:tab/>
      </w:r>
      <w:r>
        <w:br/>
        <w:t>Critical Technology Foresight</w:t>
      </w:r>
      <w:r>
        <w:tab/>
      </w:r>
      <w:r>
        <w:br/>
        <w:t>Strategy and Joint Force</w:t>
      </w:r>
      <w:r>
        <w:tab/>
      </w:r>
      <w:r>
        <w:br/>
      </w:r>
      <w:r w:rsidR="00FB702E">
        <w:t>Human &amp; Decision Sciences</w:t>
      </w:r>
      <w:bookmarkStart w:id="0" w:name="_GoBack"/>
      <w:bookmarkEnd w:id="0"/>
      <w:r>
        <w:t xml:space="preserve"> Division</w:t>
      </w:r>
      <w:r>
        <w:tab/>
      </w:r>
      <w:r>
        <w:br/>
        <w:t>Email: Jai.Galliott1@defence.gov.au</w:t>
      </w:r>
      <w:r w:rsidR="00F217A2">
        <w:t xml:space="preserve"> </w:t>
      </w:r>
    </w:p>
    <w:sectPr w:rsidR="00F217A2" w:rsidRPr="00013C44" w:rsidSect="009C0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40" w:right="340" w:bottom="340" w:left="340" w:header="34" w:footer="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974" w:rsidRDefault="00517974">
      <w:r>
        <w:separator/>
      </w:r>
    </w:p>
  </w:endnote>
  <w:endnote w:type="continuationSeparator" w:id="0">
    <w:p w:rsidR="00517974" w:rsidRDefault="0051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A9" w:rsidRPr="00094BE0" w:rsidRDefault="00094BE0" w:rsidP="00094BE0">
    <w:pPr>
      <w:pStyle w:val="Footer"/>
      <w:jc w:val="center"/>
      <w:rPr>
        <w:sz w:val="24"/>
      </w:rPr>
    </w:pPr>
    <w:r w:rsidRPr="00094BE0">
      <w:rPr>
        <w:sz w:val="24"/>
      </w:rPr>
      <w:t>OFFICIAL</w:t>
    </w:r>
  </w:p>
  <w:p w:rsidR="009C04A9" w:rsidRDefault="00E167D8" w:rsidP="009C04A9">
    <w:pPr>
      <w:pStyle w:val="Footer"/>
      <w:ind w:left="0"/>
    </w:pPr>
    <w:r>
      <w:rPr>
        <w:noProof/>
        <w:lang w:val="en-AU" w:eastAsia="en-AU"/>
      </w:rPr>
      <w:drawing>
        <wp:inline distT="0" distB="0" distL="0" distR="0">
          <wp:extent cx="7134225" cy="142875"/>
          <wp:effectExtent l="0" t="0" r="0" b="0"/>
          <wp:docPr id="1" name="Picture 1" descr="pg2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2_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04A9" w:rsidRDefault="00FB7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A9" w:rsidRPr="00094BE0" w:rsidRDefault="00094BE0" w:rsidP="00094BE0">
    <w:pPr>
      <w:pStyle w:val="Footer"/>
      <w:jc w:val="center"/>
      <w:rPr>
        <w:sz w:val="24"/>
      </w:rPr>
    </w:pPr>
    <w:r w:rsidRPr="00094BE0">
      <w:rPr>
        <w:sz w:val="24"/>
      </w:rPr>
      <w:t>OFFICIAL</w:t>
    </w:r>
  </w:p>
  <w:p w:rsidR="009C04A9" w:rsidRDefault="00E167D8" w:rsidP="009C04A9">
    <w:pPr>
      <w:pStyle w:val="Footer"/>
      <w:ind w:left="0"/>
    </w:pPr>
    <w:r>
      <w:rPr>
        <w:noProof/>
        <w:lang w:val="en-AU" w:eastAsia="en-AU"/>
      </w:rPr>
      <w:drawing>
        <wp:inline distT="0" distB="0" distL="0" distR="0">
          <wp:extent cx="7134225" cy="142875"/>
          <wp:effectExtent l="0" t="0" r="0" b="0"/>
          <wp:docPr id="3" name="Picture 3" descr="pg2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g2_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04A9" w:rsidRDefault="00FB70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A9" w:rsidRPr="00094BE0" w:rsidRDefault="00094BE0" w:rsidP="00094BE0">
    <w:pPr>
      <w:pStyle w:val="Footer"/>
      <w:tabs>
        <w:tab w:val="clear" w:pos="4320"/>
        <w:tab w:val="clear" w:pos="8640"/>
        <w:tab w:val="left" w:pos="5115"/>
        <w:tab w:val="left" w:pos="5653"/>
      </w:tabs>
      <w:rPr>
        <w:sz w:val="24"/>
      </w:rPr>
    </w:pPr>
    <w:r>
      <w:tab/>
    </w:r>
    <w:r w:rsidRPr="00094BE0">
      <w:rPr>
        <w:sz w:val="24"/>
      </w:rPr>
      <w:t>OFFICIAL</w:t>
    </w:r>
    <w:r w:rsidRPr="00094BE0">
      <w:rPr>
        <w:sz w:val="24"/>
      </w:rPr>
      <w:tab/>
    </w:r>
  </w:p>
  <w:p w:rsidR="009C04A9" w:rsidRDefault="00FB702E" w:rsidP="009C04A9">
    <w:pPr>
      <w:pStyle w:val="Footer"/>
      <w:ind w:left="0"/>
    </w:pPr>
  </w:p>
  <w:p w:rsidR="009C04A9" w:rsidRDefault="00FB7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974" w:rsidRDefault="00517974">
      <w:r>
        <w:separator/>
      </w:r>
    </w:p>
  </w:footnote>
  <w:footnote w:type="continuationSeparator" w:id="0">
    <w:p w:rsidR="00517974" w:rsidRDefault="0051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A9" w:rsidRDefault="00E167D8">
    <w:pPr>
      <w:pStyle w:val="Header"/>
    </w:pPr>
    <w:r>
      <w:rPr>
        <w:noProof/>
        <w:szCs w:val="20"/>
        <w:lang w:val="en-AU" w:eastAsia="en-A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185420</wp:posOffset>
          </wp:positionV>
          <wp:extent cx="7129145" cy="252730"/>
          <wp:effectExtent l="0" t="0" r="0" b="0"/>
          <wp:wrapNone/>
          <wp:docPr id="6" name="Picture 4" descr="b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914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04A9" w:rsidRDefault="00FB702E" w:rsidP="009C04A9">
    <w:pPr>
      <w:pStyle w:val="Header"/>
      <w:ind w:left="0"/>
    </w:pPr>
  </w:p>
  <w:p w:rsidR="009C04A9" w:rsidRDefault="00FB7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A9" w:rsidRDefault="00FB702E">
    <w:pPr>
      <w:pStyle w:val="Header"/>
    </w:pPr>
  </w:p>
  <w:p w:rsidR="009C04A9" w:rsidRDefault="00E167D8" w:rsidP="009C04A9">
    <w:pPr>
      <w:pStyle w:val="Header"/>
      <w:ind w:left="0"/>
    </w:pPr>
    <w:r>
      <w:rPr>
        <w:noProof/>
        <w:lang w:val="en-AU" w:eastAsia="en-AU"/>
      </w:rPr>
      <w:drawing>
        <wp:inline distT="0" distB="0" distL="0" distR="0">
          <wp:extent cx="7134225" cy="428625"/>
          <wp:effectExtent l="0" t="0" r="0" b="0"/>
          <wp:docPr id="2" name="Picture 2" descr="pg2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g2_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04A9" w:rsidRDefault="00FB7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A9" w:rsidRDefault="00E167D8" w:rsidP="009C04A9">
    <w:pPr>
      <w:pStyle w:val="Header"/>
      <w:ind w:left="0"/>
    </w:pPr>
    <w:r>
      <w:rPr>
        <w:noProof/>
        <w:szCs w:val="20"/>
        <w:lang w:val="en-AU" w:eastAsia="en-A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-215900</wp:posOffset>
          </wp:positionH>
          <wp:positionV relativeFrom="paragraph">
            <wp:posOffset>4445</wp:posOffset>
          </wp:positionV>
          <wp:extent cx="7543800" cy="10648950"/>
          <wp:effectExtent l="0" t="0" r="0" b="0"/>
          <wp:wrapNone/>
          <wp:docPr id="5" name="Picture 2" descr="A4 portrait 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portrait co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4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04A9" w:rsidRDefault="00B663F1" w:rsidP="009C04A9">
    <w:pPr>
      <w:pStyle w:val="Header"/>
      <w:ind w:left="0"/>
    </w:pPr>
    <w:r>
      <w:rPr>
        <w:noProof/>
        <w:szCs w:val="20"/>
        <w:lang w:val="en-AU" w:eastAsia="en-AU"/>
      </w:rPr>
      <w:drawing>
        <wp:anchor distT="0" distB="0" distL="114300" distR="114300" simplePos="0" relativeHeight="251655679" behindDoc="0" locked="0" layoutInCell="1" allowOverlap="1">
          <wp:simplePos x="0" y="0"/>
          <wp:positionH relativeFrom="column">
            <wp:posOffset>134884</wp:posOffset>
          </wp:positionH>
          <wp:positionV relativeFrom="paragraph">
            <wp:posOffset>22225</wp:posOffset>
          </wp:positionV>
          <wp:extent cx="2570480" cy="1061085"/>
          <wp:effectExtent l="0" t="0" r="0" b="0"/>
          <wp:wrapNone/>
          <wp:docPr id="9" name="Picture 9" descr="C:\Users\WinklerC\AppData\Local\Microsoft\Windows\INetCache\Content.Word\DST 2020 - Inline - PMS 4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WinklerC\AppData\Local\Microsoft\Windows\INetCache\Content.Word\DST 2020 - Inline - PMS 43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C04A9" w:rsidRDefault="00FB702E" w:rsidP="009C04A9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63B"/>
    <w:multiLevelType w:val="hybridMultilevel"/>
    <w:tmpl w:val="705E384E"/>
    <w:lvl w:ilvl="0" w:tplc="0C09000F">
      <w:start w:val="1"/>
      <w:numFmt w:val="decimal"/>
      <w:lvlText w:val="%1."/>
      <w:lvlJc w:val="left"/>
      <w:pPr>
        <w:ind w:left="1572" w:hanging="360"/>
      </w:pPr>
    </w:lvl>
    <w:lvl w:ilvl="1" w:tplc="0C090019" w:tentative="1">
      <w:start w:val="1"/>
      <w:numFmt w:val="lowerLetter"/>
      <w:lvlText w:val="%2."/>
      <w:lvlJc w:val="left"/>
      <w:pPr>
        <w:ind w:left="2292" w:hanging="360"/>
      </w:pPr>
    </w:lvl>
    <w:lvl w:ilvl="2" w:tplc="0C09001B" w:tentative="1">
      <w:start w:val="1"/>
      <w:numFmt w:val="lowerRoman"/>
      <w:lvlText w:val="%3."/>
      <w:lvlJc w:val="right"/>
      <w:pPr>
        <w:ind w:left="3012" w:hanging="180"/>
      </w:pPr>
    </w:lvl>
    <w:lvl w:ilvl="3" w:tplc="0C09000F" w:tentative="1">
      <w:start w:val="1"/>
      <w:numFmt w:val="decimal"/>
      <w:lvlText w:val="%4."/>
      <w:lvlJc w:val="left"/>
      <w:pPr>
        <w:ind w:left="3732" w:hanging="360"/>
      </w:pPr>
    </w:lvl>
    <w:lvl w:ilvl="4" w:tplc="0C090019" w:tentative="1">
      <w:start w:val="1"/>
      <w:numFmt w:val="lowerLetter"/>
      <w:lvlText w:val="%5."/>
      <w:lvlJc w:val="left"/>
      <w:pPr>
        <w:ind w:left="4452" w:hanging="360"/>
      </w:pPr>
    </w:lvl>
    <w:lvl w:ilvl="5" w:tplc="0C09001B" w:tentative="1">
      <w:start w:val="1"/>
      <w:numFmt w:val="lowerRoman"/>
      <w:lvlText w:val="%6."/>
      <w:lvlJc w:val="right"/>
      <w:pPr>
        <w:ind w:left="5172" w:hanging="180"/>
      </w:pPr>
    </w:lvl>
    <w:lvl w:ilvl="6" w:tplc="0C09000F" w:tentative="1">
      <w:start w:val="1"/>
      <w:numFmt w:val="decimal"/>
      <w:lvlText w:val="%7."/>
      <w:lvlJc w:val="left"/>
      <w:pPr>
        <w:ind w:left="5892" w:hanging="360"/>
      </w:pPr>
    </w:lvl>
    <w:lvl w:ilvl="7" w:tplc="0C090019" w:tentative="1">
      <w:start w:val="1"/>
      <w:numFmt w:val="lowerLetter"/>
      <w:lvlText w:val="%8."/>
      <w:lvlJc w:val="left"/>
      <w:pPr>
        <w:ind w:left="6612" w:hanging="360"/>
      </w:pPr>
    </w:lvl>
    <w:lvl w:ilvl="8" w:tplc="0C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7B67EE8"/>
    <w:multiLevelType w:val="hybridMultilevel"/>
    <w:tmpl w:val="4A40E1A6"/>
    <w:lvl w:ilvl="0" w:tplc="31CEEBF8">
      <w:start w:val="1"/>
      <w:numFmt w:val="bullet"/>
      <w:pStyle w:val="Heading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244A8B"/>
    <w:multiLevelType w:val="hybridMultilevel"/>
    <w:tmpl w:val="E85E20A2"/>
    <w:lvl w:ilvl="0" w:tplc="0C09000F">
      <w:start w:val="1"/>
      <w:numFmt w:val="decimal"/>
      <w:lvlText w:val="%1."/>
      <w:lvlJc w:val="left"/>
      <w:pPr>
        <w:ind w:left="1572" w:hanging="360"/>
      </w:pPr>
    </w:lvl>
    <w:lvl w:ilvl="1" w:tplc="0C090019" w:tentative="1">
      <w:start w:val="1"/>
      <w:numFmt w:val="lowerLetter"/>
      <w:lvlText w:val="%2."/>
      <w:lvlJc w:val="left"/>
      <w:pPr>
        <w:ind w:left="2292" w:hanging="360"/>
      </w:pPr>
    </w:lvl>
    <w:lvl w:ilvl="2" w:tplc="0C09001B" w:tentative="1">
      <w:start w:val="1"/>
      <w:numFmt w:val="lowerRoman"/>
      <w:lvlText w:val="%3."/>
      <w:lvlJc w:val="right"/>
      <w:pPr>
        <w:ind w:left="3012" w:hanging="180"/>
      </w:pPr>
    </w:lvl>
    <w:lvl w:ilvl="3" w:tplc="0C09000F" w:tentative="1">
      <w:start w:val="1"/>
      <w:numFmt w:val="decimal"/>
      <w:lvlText w:val="%4."/>
      <w:lvlJc w:val="left"/>
      <w:pPr>
        <w:ind w:left="3732" w:hanging="360"/>
      </w:pPr>
    </w:lvl>
    <w:lvl w:ilvl="4" w:tplc="0C090019" w:tentative="1">
      <w:start w:val="1"/>
      <w:numFmt w:val="lowerLetter"/>
      <w:lvlText w:val="%5."/>
      <w:lvlJc w:val="left"/>
      <w:pPr>
        <w:ind w:left="4452" w:hanging="360"/>
      </w:pPr>
    </w:lvl>
    <w:lvl w:ilvl="5" w:tplc="0C09001B" w:tentative="1">
      <w:start w:val="1"/>
      <w:numFmt w:val="lowerRoman"/>
      <w:lvlText w:val="%6."/>
      <w:lvlJc w:val="right"/>
      <w:pPr>
        <w:ind w:left="5172" w:hanging="180"/>
      </w:pPr>
    </w:lvl>
    <w:lvl w:ilvl="6" w:tplc="0C09000F" w:tentative="1">
      <w:start w:val="1"/>
      <w:numFmt w:val="decimal"/>
      <w:lvlText w:val="%7."/>
      <w:lvlJc w:val="left"/>
      <w:pPr>
        <w:ind w:left="5892" w:hanging="360"/>
      </w:pPr>
    </w:lvl>
    <w:lvl w:ilvl="7" w:tplc="0C090019" w:tentative="1">
      <w:start w:val="1"/>
      <w:numFmt w:val="lowerLetter"/>
      <w:lvlText w:val="%8."/>
      <w:lvlJc w:val="left"/>
      <w:pPr>
        <w:ind w:left="6612" w:hanging="360"/>
      </w:pPr>
    </w:lvl>
    <w:lvl w:ilvl="8" w:tplc="0C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2C865811"/>
    <w:multiLevelType w:val="multilevel"/>
    <w:tmpl w:val="0C09001D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707BB5"/>
    <w:multiLevelType w:val="hybridMultilevel"/>
    <w:tmpl w:val="4DC87BFA"/>
    <w:lvl w:ilvl="0" w:tplc="31CEEBF8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292" w:hanging="360"/>
      </w:pPr>
    </w:lvl>
    <w:lvl w:ilvl="2" w:tplc="0C09001B" w:tentative="1">
      <w:start w:val="1"/>
      <w:numFmt w:val="lowerRoman"/>
      <w:lvlText w:val="%3."/>
      <w:lvlJc w:val="right"/>
      <w:pPr>
        <w:ind w:left="3012" w:hanging="180"/>
      </w:pPr>
    </w:lvl>
    <w:lvl w:ilvl="3" w:tplc="0C09000F" w:tentative="1">
      <w:start w:val="1"/>
      <w:numFmt w:val="decimal"/>
      <w:lvlText w:val="%4."/>
      <w:lvlJc w:val="left"/>
      <w:pPr>
        <w:ind w:left="3732" w:hanging="360"/>
      </w:pPr>
    </w:lvl>
    <w:lvl w:ilvl="4" w:tplc="0C090019" w:tentative="1">
      <w:start w:val="1"/>
      <w:numFmt w:val="lowerLetter"/>
      <w:lvlText w:val="%5."/>
      <w:lvlJc w:val="left"/>
      <w:pPr>
        <w:ind w:left="4452" w:hanging="360"/>
      </w:pPr>
    </w:lvl>
    <w:lvl w:ilvl="5" w:tplc="0C09001B" w:tentative="1">
      <w:start w:val="1"/>
      <w:numFmt w:val="lowerRoman"/>
      <w:lvlText w:val="%6."/>
      <w:lvlJc w:val="right"/>
      <w:pPr>
        <w:ind w:left="5172" w:hanging="180"/>
      </w:pPr>
    </w:lvl>
    <w:lvl w:ilvl="6" w:tplc="0C09000F" w:tentative="1">
      <w:start w:val="1"/>
      <w:numFmt w:val="decimal"/>
      <w:lvlText w:val="%7."/>
      <w:lvlJc w:val="left"/>
      <w:pPr>
        <w:ind w:left="5892" w:hanging="360"/>
      </w:pPr>
    </w:lvl>
    <w:lvl w:ilvl="7" w:tplc="0C090019" w:tentative="1">
      <w:start w:val="1"/>
      <w:numFmt w:val="lowerLetter"/>
      <w:lvlText w:val="%8."/>
      <w:lvlJc w:val="left"/>
      <w:pPr>
        <w:ind w:left="6612" w:hanging="360"/>
      </w:pPr>
    </w:lvl>
    <w:lvl w:ilvl="8" w:tplc="0C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451F7194"/>
    <w:multiLevelType w:val="hybridMultilevel"/>
    <w:tmpl w:val="3A508CA6"/>
    <w:lvl w:ilvl="0" w:tplc="0C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5AC1A8D"/>
    <w:multiLevelType w:val="multilevel"/>
    <w:tmpl w:val="0C09001D"/>
    <w:numStyleLink w:val="BulletList"/>
  </w:abstractNum>
  <w:abstractNum w:abstractNumId="7" w15:restartNumberingAfterBreak="0">
    <w:nsid w:val="786A5FD9"/>
    <w:multiLevelType w:val="hybridMultilevel"/>
    <w:tmpl w:val="4C62C6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D8"/>
    <w:rsid w:val="00094700"/>
    <w:rsid w:val="00094BE0"/>
    <w:rsid w:val="000D41CD"/>
    <w:rsid w:val="00144434"/>
    <w:rsid w:val="001E123A"/>
    <w:rsid w:val="001E2690"/>
    <w:rsid w:val="00247FD6"/>
    <w:rsid w:val="002765FD"/>
    <w:rsid w:val="002A3514"/>
    <w:rsid w:val="003B051A"/>
    <w:rsid w:val="004006FB"/>
    <w:rsid w:val="0044229D"/>
    <w:rsid w:val="00444DA5"/>
    <w:rsid w:val="00517974"/>
    <w:rsid w:val="00531D72"/>
    <w:rsid w:val="005E3115"/>
    <w:rsid w:val="007066A3"/>
    <w:rsid w:val="00716DFE"/>
    <w:rsid w:val="007213BC"/>
    <w:rsid w:val="0078204B"/>
    <w:rsid w:val="007943AE"/>
    <w:rsid w:val="007D1EA8"/>
    <w:rsid w:val="007D219B"/>
    <w:rsid w:val="008019BC"/>
    <w:rsid w:val="008105E0"/>
    <w:rsid w:val="008A4CDC"/>
    <w:rsid w:val="009819D7"/>
    <w:rsid w:val="00983340"/>
    <w:rsid w:val="009A22A0"/>
    <w:rsid w:val="009B57EC"/>
    <w:rsid w:val="00A45FF2"/>
    <w:rsid w:val="00A70FFA"/>
    <w:rsid w:val="00AE79F2"/>
    <w:rsid w:val="00AF5F22"/>
    <w:rsid w:val="00B1430C"/>
    <w:rsid w:val="00B663F1"/>
    <w:rsid w:val="00BA6D11"/>
    <w:rsid w:val="00BD3DF6"/>
    <w:rsid w:val="00CE019E"/>
    <w:rsid w:val="00CF76F1"/>
    <w:rsid w:val="00D32474"/>
    <w:rsid w:val="00D60BFC"/>
    <w:rsid w:val="00DB548A"/>
    <w:rsid w:val="00E167D8"/>
    <w:rsid w:val="00EE1C5D"/>
    <w:rsid w:val="00F217A2"/>
    <w:rsid w:val="00FB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074A8821"/>
  <w15:chartTrackingRefBased/>
  <w15:docId w15:val="{7EC36492-D167-4C49-A9E7-27D6797C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C44"/>
    <w:pPr>
      <w:ind w:left="851" w:right="851"/>
    </w:pPr>
    <w:rPr>
      <w:rFonts w:ascii="Arial" w:hAnsi="Arial"/>
      <w:sz w:val="28"/>
      <w:szCs w:val="24"/>
      <w:lang w:val="en-US" w:eastAsia="en-US"/>
    </w:rPr>
  </w:style>
  <w:style w:type="paragraph" w:styleId="Heading1">
    <w:name w:val="heading 1"/>
    <w:next w:val="Heading2"/>
    <w:qFormat/>
    <w:rsid w:val="00013C44"/>
    <w:pPr>
      <w:keepNext/>
      <w:spacing w:before="240" w:after="60"/>
      <w:outlineLvl w:val="0"/>
    </w:pPr>
    <w:rPr>
      <w:rFonts w:ascii="Georgia" w:hAnsi="Georgia" w:cs="Arial"/>
      <w:bCs/>
      <w:color w:val="E86D1F"/>
      <w:kern w:val="32"/>
      <w:sz w:val="48"/>
      <w:szCs w:val="32"/>
    </w:rPr>
  </w:style>
  <w:style w:type="paragraph" w:styleId="Heading2">
    <w:name w:val="heading 2"/>
    <w:next w:val="Normal"/>
    <w:qFormat/>
    <w:rsid w:val="00013C44"/>
    <w:pPr>
      <w:keepNext/>
      <w:spacing w:before="240" w:after="60"/>
      <w:outlineLvl w:val="1"/>
    </w:pPr>
    <w:rPr>
      <w:rFonts w:ascii="Arial" w:hAnsi="Arial" w:cs="Arial"/>
      <w:bCs/>
      <w:iCs/>
      <w:color w:val="5B6770"/>
      <w:sz w:val="36"/>
      <w:szCs w:val="28"/>
    </w:rPr>
  </w:style>
  <w:style w:type="paragraph" w:styleId="Heading3">
    <w:name w:val="heading 3"/>
    <w:aliases w:val="Bullet_List"/>
    <w:basedOn w:val="Normal"/>
    <w:qFormat/>
    <w:rsid w:val="00013C44"/>
    <w:pPr>
      <w:keepNext/>
      <w:numPr>
        <w:numId w:val="3"/>
      </w:numPr>
      <w:tabs>
        <w:tab w:val="left" w:pos="1134"/>
      </w:tabs>
      <w:spacing w:before="240" w:after="60"/>
      <w:ind w:right="0"/>
      <w:outlineLvl w:val="2"/>
    </w:pPr>
    <w:rPr>
      <w:rFonts w:cs="Arial"/>
      <w:bCs/>
      <w:color w:val="000000"/>
      <w:szCs w:val="2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1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601DE"/>
    <w:pPr>
      <w:tabs>
        <w:tab w:val="center" w:pos="4320"/>
        <w:tab w:val="right" w:pos="8640"/>
      </w:tabs>
    </w:pPr>
  </w:style>
  <w:style w:type="numbering" w:customStyle="1" w:styleId="BulletList">
    <w:name w:val="Bullet List"/>
    <w:basedOn w:val="NoList"/>
    <w:rsid w:val="00013C4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D0A90-FB25-4337-8EB1-1F0BEBDD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938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Defence</Company>
  <LinksUpToDate>false</LinksUpToDate>
  <CharactersWithSpaces>6634</CharactersWithSpaces>
  <SharedDoc>false</SharedDoc>
  <HLinks>
    <vt:vector size="36" baseType="variant">
      <vt:variant>
        <vt:i4>4915257</vt:i4>
      </vt:variant>
      <vt:variant>
        <vt:i4>1601</vt:i4>
      </vt:variant>
      <vt:variant>
        <vt:i4>1056</vt:i4>
      </vt:variant>
      <vt:variant>
        <vt:i4>1</vt:i4>
      </vt:variant>
      <vt:variant>
        <vt:lpwstr>pg2_head</vt:lpwstr>
      </vt:variant>
      <vt:variant>
        <vt:lpwstr/>
      </vt:variant>
      <vt:variant>
        <vt:i4>4915235</vt:i4>
      </vt:variant>
      <vt:variant>
        <vt:i4>1606</vt:i4>
      </vt:variant>
      <vt:variant>
        <vt:i4>1055</vt:i4>
      </vt:variant>
      <vt:variant>
        <vt:i4>1</vt:i4>
      </vt:variant>
      <vt:variant>
        <vt:lpwstr>pg2_foot</vt:lpwstr>
      </vt:variant>
      <vt:variant>
        <vt:lpwstr/>
      </vt:variant>
      <vt:variant>
        <vt:i4>4915235</vt:i4>
      </vt:variant>
      <vt:variant>
        <vt:i4>1611</vt:i4>
      </vt:variant>
      <vt:variant>
        <vt:i4>1057</vt:i4>
      </vt:variant>
      <vt:variant>
        <vt:i4>1</vt:i4>
      </vt:variant>
      <vt:variant>
        <vt:lpwstr>pg2_foot</vt:lpwstr>
      </vt:variant>
      <vt:variant>
        <vt:lpwstr/>
      </vt:variant>
      <vt:variant>
        <vt:i4>2555996</vt:i4>
      </vt:variant>
      <vt:variant>
        <vt:i4>-1</vt:i4>
      </vt:variant>
      <vt:variant>
        <vt:i4>2049</vt:i4>
      </vt:variant>
      <vt:variant>
        <vt:i4>1</vt:i4>
      </vt:variant>
      <vt:variant>
        <vt:lpwstr>Defence_inline_char</vt:lpwstr>
      </vt:variant>
      <vt:variant>
        <vt:lpwstr/>
      </vt:variant>
      <vt:variant>
        <vt:i4>2621447</vt:i4>
      </vt:variant>
      <vt:variant>
        <vt:i4>-1</vt:i4>
      </vt:variant>
      <vt:variant>
        <vt:i4>2050</vt:i4>
      </vt:variant>
      <vt:variant>
        <vt:i4>1</vt:i4>
      </vt:variant>
      <vt:variant>
        <vt:lpwstr>A4 portrait cover</vt:lpwstr>
      </vt:variant>
      <vt:variant>
        <vt:lpwstr/>
      </vt:variant>
      <vt:variant>
        <vt:i4>1441897</vt:i4>
      </vt:variant>
      <vt:variant>
        <vt:i4>-1</vt:i4>
      </vt:variant>
      <vt:variant>
        <vt:i4>2052</vt:i4>
      </vt:variant>
      <vt:variant>
        <vt:i4>1</vt:i4>
      </vt:variant>
      <vt:variant>
        <vt:lpwstr>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Crosthwaite, Claire MISS</dc:creator>
  <cp:keywords/>
  <cp:lastModifiedBy>Galliott, Jai DR 1</cp:lastModifiedBy>
  <cp:revision>23</cp:revision>
  <dcterms:created xsi:type="dcterms:W3CDTF">2022-03-09T23:40:00Z</dcterms:created>
  <dcterms:modified xsi:type="dcterms:W3CDTF">2022-08-01T06:29:00Z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BW3137268</vt:lpwstr>
  </property>
  <property fmtid="{D5CDD505-2E9C-101B-9397-08002B2CF9AE}" pid="3" name="Objective-Title">
    <vt:lpwstr>Socio-Technical Futures Analysis RFI</vt:lpwstr>
  </property>
  <property fmtid="{D5CDD505-2E9C-101B-9397-08002B2CF9AE}" pid="4" name="Objective-Comment">
    <vt:lpwstr/>
  </property>
  <property fmtid="{D5CDD505-2E9C-101B-9397-08002B2CF9AE}" pid="5" name="Objective-CreationStamp">
    <vt:filetime>2022-03-09T04:12:56Z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2022-08-01T06:32:27Z</vt:filetime>
  </property>
  <property fmtid="{D5CDD505-2E9C-101B-9397-08002B2CF9AE}" pid="10" name="Objective-Owner">
    <vt:lpwstr>Galliott, Jai Dr 1</vt:lpwstr>
  </property>
  <property fmtid="{D5CDD505-2E9C-101B-9397-08002B2CF9AE}" pid="11" name="Objective-Path">
    <vt:lpwstr>Objective Global Folder - PROD:Defence Business Units:Defence Science and Technology Group:JOAD : DSTG Joint and Operations Analysis Division:MSTC Strategy and Joint Force:04 STC Emerging Technologies:05 Emerging Technology Staff Working Folders:Jai Galliott:03 Outputs:</vt:lpwstr>
  </property>
  <property fmtid="{D5CDD505-2E9C-101B-9397-08002B2CF9AE}" pid="12" name="Objective-Parent">
    <vt:lpwstr>03 Outputs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0.5</vt:lpwstr>
  </property>
  <property fmtid="{D5CDD505-2E9C-101B-9397-08002B2CF9AE}" pid="15" name="Objective-VersionNumber">
    <vt:i4>5</vt:i4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Official: Sensitive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